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FE" w:rsidRDefault="00B22EFE" w:rsidP="00B22EFE">
      <w:pPr>
        <w:spacing w:line="480" w:lineRule="auto"/>
        <w:jc w:val="both"/>
      </w:pPr>
      <w:bookmarkStart w:id="0" w:name="_GoBack"/>
      <w:bookmarkEnd w:id="0"/>
      <w:r>
        <w:rPr>
          <w:sz w:val="28"/>
          <w:szCs w:val="28"/>
        </w:rPr>
        <w:t>Web Appendix</w:t>
      </w:r>
      <w:r w:rsidR="00CC5D60">
        <w:rPr>
          <w:sz w:val="28"/>
          <w:szCs w:val="28"/>
        </w:rPr>
        <w:t>: Variable Measurement and Sources</w:t>
      </w:r>
    </w:p>
    <w:p w:rsidR="00B22EFE" w:rsidRDefault="00B22EFE" w:rsidP="00B22EF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40"/>
        <w:gridCol w:w="2840"/>
        <w:gridCol w:w="2842"/>
      </w:tblGrid>
      <w:tr w:rsidR="00B22EFE" w:rsidTr="00C55A42">
        <w:tc>
          <w:tcPr>
            <w:tcW w:w="2840" w:type="dxa"/>
          </w:tcPr>
          <w:p w:rsidR="00B22EFE" w:rsidRDefault="00B22EFE" w:rsidP="00C55A42">
            <w:pPr>
              <w:jc w:val="center"/>
              <w:rPr>
                <w:b/>
              </w:rPr>
            </w:pPr>
            <w:r>
              <w:rPr>
                <w:b/>
              </w:rPr>
              <w:t>Variable</w:t>
            </w:r>
          </w:p>
        </w:tc>
        <w:tc>
          <w:tcPr>
            <w:tcW w:w="2840" w:type="dxa"/>
          </w:tcPr>
          <w:p w:rsidR="00B22EFE" w:rsidRDefault="00B22EFE" w:rsidP="00C55A42">
            <w:pPr>
              <w:jc w:val="center"/>
              <w:rPr>
                <w:b/>
              </w:rPr>
            </w:pPr>
            <w:r>
              <w:rPr>
                <w:b/>
              </w:rPr>
              <w:t>Measurement</w:t>
            </w:r>
          </w:p>
        </w:tc>
        <w:tc>
          <w:tcPr>
            <w:tcW w:w="2842" w:type="dxa"/>
          </w:tcPr>
          <w:p w:rsidR="00B22EFE" w:rsidRDefault="00B22EFE" w:rsidP="00C55A42">
            <w:pPr>
              <w:jc w:val="center"/>
              <w:rPr>
                <w:b/>
              </w:rPr>
            </w:pPr>
            <w:r>
              <w:rPr>
                <w:b/>
              </w:rPr>
              <w:t>Source</w:t>
            </w:r>
          </w:p>
        </w:tc>
      </w:tr>
      <w:tr w:rsidR="00B22EFE" w:rsidTr="00C55A42">
        <w:tc>
          <w:tcPr>
            <w:tcW w:w="2840" w:type="dxa"/>
          </w:tcPr>
          <w:p w:rsidR="00B22EFE" w:rsidRDefault="00B22EFE" w:rsidP="00C55A42">
            <w:pPr>
              <w:rPr>
                <w:sz w:val="22"/>
                <w:szCs w:val="22"/>
              </w:rPr>
            </w:pPr>
            <w:r>
              <w:rPr>
                <w:sz w:val="22"/>
                <w:szCs w:val="22"/>
              </w:rPr>
              <w:t>Differences in sectoral hourly wage growth</w:t>
            </w:r>
          </w:p>
        </w:tc>
        <w:tc>
          <w:tcPr>
            <w:tcW w:w="2840" w:type="dxa"/>
          </w:tcPr>
          <w:p w:rsidR="00B22EFE" w:rsidRDefault="00B22EFE" w:rsidP="00C55A42">
            <w:pPr>
              <w:rPr>
                <w:sz w:val="22"/>
                <w:szCs w:val="22"/>
              </w:rPr>
            </w:pPr>
            <w:r>
              <w:rPr>
                <w:sz w:val="22"/>
                <w:szCs w:val="22"/>
              </w:rPr>
              <w:t xml:space="preserve">The difference in the following values: 1) the log change of the sum of compensation of employees within the public administration and defence (ISIC category L), education (ISIC category M), and health and social work (ISIC category N) sectors divided by the sum of total hours worked within these sectors, and; 2) the log change of the sum of compensation of employees within manufacturing (ISIC category D), divided by the sum of total hours worked within manufacturing.  Hourly wages are then deflated according to the consumer price index. </w:t>
            </w:r>
          </w:p>
        </w:tc>
        <w:tc>
          <w:tcPr>
            <w:tcW w:w="2842" w:type="dxa"/>
          </w:tcPr>
          <w:p w:rsidR="00B22EFE" w:rsidRDefault="00B22EFE" w:rsidP="00C55A42">
            <w:pPr>
              <w:rPr>
                <w:sz w:val="22"/>
                <w:szCs w:val="22"/>
              </w:rPr>
            </w:pPr>
            <w:r>
              <w:rPr>
                <w:sz w:val="22"/>
                <w:szCs w:val="22"/>
              </w:rPr>
              <w:t>Compensation of employees and number of hours worked by sector taken from the EU KLEMS database.  Consumer price index data taken from the OECD Main Economic Indicators.</w:t>
            </w:r>
          </w:p>
        </w:tc>
      </w:tr>
      <w:tr w:rsidR="00B22EFE" w:rsidTr="00C55A42">
        <w:tc>
          <w:tcPr>
            <w:tcW w:w="2840" w:type="dxa"/>
          </w:tcPr>
          <w:p w:rsidR="00B22EFE" w:rsidRDefault="00B22EFE" w:rsidP="00C55A42">
            <w:pPr>
              <w:rPr>
                <w:sz w:val="22"/>
                <w:szCs w:val="22"/>
              </w:rPr>
            </w:pPr>
            <w:r>
              <w:rPr>
                <w:sz w:val="22"/>
                <w:szCs w:val="22"/>
              </w:rPr>
              <w:t>(Weighted) central bank non-accommodation index</w:t>
            </w:r>
          </w:p>
        </w:tc>
        <w:tc>
          <w:tcPr>
            <w:tcW w:w="2840" w:type="dxa"/>
          </w:tcPr>
          <w:p w:rsidR="00B22EFE" w:rsidRDefault="00B22EFE" w:rsidP="00C55A42">
            <w:pPr>
              <w:rPr>
                <w:sz w:val="22"/>
                <w:szCs w:val="22"/>
              </w:rPr>
            </w:pPr>
            <w:r>
              <w:rPr>
                <w:sz w:val="22"/>
                <w:szCs w:val="22"/>
              </w:rPr>
              <w:t xml:space="preserve">Based on Iversen’s (1999) index, the average of Cukierman’s (1992) central bank independence index and (normalised) 4 year moving averages of the nominal effective exchange rate).  Variable is then weighted according to the proportion of employees working in the public sector (ISIC Categories L, M, and N) to the entire economy over which the central bank presides  </w:t>
            </w:r>
          </w:p>
        </w:tc>
        <w:tc>
          <w:tcPr>
            <w:tcW w:w="2842" w:type="dxa"/>
          </w:tcPr>
          <w:p w:rsidR="00B22EFE" w:rsidRDefault="00B22EFE" w:rsidP="00C55A42">
            <w:pPr>
              <w:rPr>
                <w:sz w:val="22"/>
                <w:szCs w:val="22"/>
              </w:rPr>
            </w:pPr>
            <w:r>
              <w:rPr>
                <w:sz w:val="22"/>
                <w:szCs w:val="22"/>
              </w:rPr>
              <w:t>Central bank independence data taken from Cukierman (1992) and Polillo and Gullién (2005).  Nominal effective exchange rate data taken from the European Commission’s Annual Macroeconomic Database.  Public sector and total economy employment taken from EU KLEMS</w:t>
            </w:r>
          </w:p>
        </w:tc>
      </w:tr>
      <w:tr w:rsidR="00B22EFE" w:rsidTr="00C55A42">
        <w:tc>
          <w:tcPr>
            <w:tcW w:w="2840" w:type="dxa"/>
          </w:tcPr>
          <w:p w:rsidR="00B22EFE" w:rsidRDefault="00B22EFE" w:rsidP="00C55A42">
            <w:pPr>
              <w:rPr>
                <w:sz w:val="22"/>
                <w:szCs w:val="22"/>
              </w:rPr>
            </w:pPr>
            <w:smartTag w:uri="urn:schemas-microsoft-com:office:smarttags" w:element="City">
              <w:smartTag w:uri="urn:schemas-microsoft-com:office:smarttags" w:element="place">
                <w:r>
                  <w:rPr>
                    <w:sz w:val="22"/>
                    <w:szCs w:val="22"/>
                  </w:rPr>
                  <w:t>Maastricht</w:t>
                </w:r>
              </w:smartTag>
            </w:smartTag>
            <w:r>
              <w:rPr>
                <w:sz w:val="22"/>
                <w:szCs w:val="22"/>
              </w:rPr>
              <w:t xml:space="preserve"> Dummy</w:t>
            </w:r>
          </w:p>
        </w:tc>
        <w:tc>
          <w:tcPr>
            <w:tcW w:w="2840" w:type="dxa"/>
          </w:tcPr>
          <w:p w:rsidR="00B22EFE" w:rsidRDefault="00B22EFE" w:rsidP="00C55A42">
            <w:pPr>
              <w:rPr>
                <w:sz w:val="22"/>
                <w:szCs w:val="22"/>
              </w:rPr>
            </w:pPr>
            <w:r>
              <w:rPr>
                <w:sz w:val="22"/>
                <w:szCs w:val="22"/>
              </w:rPr>
              <w:t xml:space="preserve">Assumes the value of 1 for years 1992-1998 for the following countries: </w:t>
            </w:r>
            <w:smartTag w:uri="urn:schemas-microsoft-com:office:smarttags" w:element="country-region">
              <w:r>
                <w:rPr>
                  <w:sz w:val="22"/>
                  <w:szCs w:val="22"/>
                </w:rPr>
                <w:t>Austria</w:t>
              </w:r>
            </w:smartTag>
            <w:r>
              <w:rPr>
                <w:sz w:val="22"/>
                <w:szCs w:val="22"/>
              </w:rPr>
              <w:t xml:space="preserve">, </w:t>
            </w:r>
            <w:smartTag w:uri="urn:schemas-microsoft-com:office:smarttags" w:element="country-region">
              <w:r>
                <w:rPr>
                  <w:sz w:val="22"/>
                  <w:szCs w:val="22"/>
                </w:rPr>
                <w:t>Belgium</w:t>
              </w:r>
            </w:smartTag>
            <w:r>
              <w:rPr>
                <w:sz w:val="22"/>
                <w:szCs w:val="22"/>
              </w:rPr>
              <w:t xml:space="preserve">, </w:t>
            </w:r>
            <w:smartTag w:uri="urn:schemas-microsoft-com:office:smarttags" w:element="country-region">
              <w:r>
                <w:rPr>
                  <w:sz w:val="22"/>
                  <w:szCs w:val="22"/>
                </w:rPr>
                <w:t>Finland</w:t>
              </w:r>
            </w:smartTag>
            <w:r>
              <w:rPr>
                <w:sz w:val="22"/>
                <w:szCs w:val="22"/>
              </w:rPr>
              <w:t xml:space="preserve">, </w:t>
            </w:r>
            <w:smartTag w:uri="urn:schemas-microsoft-com:office:smarttags" w:element="country-region">
              <w:r>
                <w:rPr>
                  <w:sz w:val="22"/>
                  <w:szCs w:val="22"/>
                </w:rPr>
                <w:t>France</w:t>
              </w:r>
            </w:smartTag>
            <w:r>
              <w:rPr>
                <w:sz w:val="22"/>
                <w:szCs w:val="22"/>
              </w:rPr>
              <w:t xml:space="preserve">, </w:t>
            </w:r>
            <w:smartTag w:uri="urn:schemas-microsoft-com:office:smarttags" w:element="country-region">
              <w:r>
                <w:rPr>
                  <w:sz w:val="22"/>
                  <w:szCs w:val="22"/>
                </w:rPr>
                <w:t>Germany</w:t>
              </w:r>
            </w:smartTag>
            <w:r>
              <w:rPr>
                <w:sz w:val="22"/>
                <w:szCs w:val="22"/>
              </w:rPr>
              <w:t xml:space="preserve">, </w:t>
            </w:r>
            <w:smartTag w:uri="urn:schemas-microsoft-com:office:smarttags" w:element="country-region">
              <w:r>
                <w:rPr>
                  <w:sz w:val="22"/>
                  <w:szCs w:val="22"/>
                </w:rPr>
                <w:t>Ireland</w:t>
              </w:r>
            </w:smartTag>
            <w:r>
              <w:rPr>
                <w:sz w:val="22"/>
                <w:szCs w:val="22"/>
              </w:rPr>
              <w:t xml:space="preserve">, </w:t>
            </w:r>
            <w:smartTag w:uri="urn:schemas-microsoft-com:office:smarttags" w:element="country-region">
              <w:r>
                <w:rPr>
                  <w:sz w:val="22"/>
                  <w:szCs w:val="22"/>
                </w:rPr>
                <w:t>Italy</w:t>
              </w:r>
            </w:smartTag>
            <w:r>
              <w:rPr>
                <w:sz w:val="22"/>
                <w:szCs w:val="22"/>
              </w:rPr>
              <w:t xml:space="preserve">, the </w:t>
            </w:r>
            <w:smartTag w:uri="urn:schemas-microsoft-com:office:smarttags" w:element="country-region">
              <w:r>
                <w:rPr>
                  <w:sz w:val="22"/>
                  <w:szCs w:val="22"/>
                </w:rPr>
                <w:t>Netherlands</w:t>
              </w:r>
            </w:smartTag>
            <w:r>
              <w:rPr>
                <w:sz w:val="22"/>
                <w:szCs w:val="22"/>
              </w:rPr>
              <w:t xml:space="preserve">, </w:t>
            </w:r>
            <w:smartTag w:uri="urn:schemas-microsoft-com:office:smarttags" w:element="country-region">
              <w:r>
                <w:rPr>
                  <w:sz w:val="22"/>
                  <w:szCs w:val="22"/>
                </w:rPr>
                <w:t>Portugal</w:t>
              </w:r>
            </w:smartTag>
            <w:r>
              <w:rPr>
                <w:sz w:val="22"/>
                <w:szCs w:val="22"/>
              </w:rPr>
              <w:t xml:space="preserve"> and </w:t>
            </w:r>
            <w:smartTag w:uri="urn:schemas-microsoft-com:office:smarttags" w:element="country-region">
              <w:smartTag w:uri="urn:schemas-microsoft-com:office:smarttags" w:element="place">
                <w:r>
                  <w:rPr>
                    <w:sz w:val="22"/>
                    <w:szCs w:val="22"/>
                  </w:rPr>
                  <w:t>Spain</w:t>
                </w:r>
              </w:smartTag>
            </w:smartTag>
            <w:r>
              <w:rPr>
                <w:sz w:val="22"/>
                <w:szCs w:val="22"/>
              </w:rPr>
              <w:t>.  0 if otherwise.</w:t>
            </w:r>
          </w:p>
        </w:tc>
        <w:tc>
          <w:tcPr>
            <w:tcW w:w="2842" w:type="dxa"/>
          </w:tcPr>
          <w:p w:rsidR="00B22EFE" w:rsidRDefault="00B22EFE" w:rsidP="00C55A42">
            <w:pPr>
              <w:rPr>
                <w:sz w:val="22"/>
                <w:szCs w:val="22"/>
              </w:rPr>
            </w:pPr>
            <w:r>
              <w:rPr>
                <w:sz w:val="22"/>
                <w:szCs w:val="22"/>
              </w:rPr>
              <w:t>NA</w:t>
            </w:r>
          </w:p>
        </w:tc>
      </w:tr>
      <w:tr w:rsidR="00B22EFE" w:rsidTr="00C55A42">
        <w:tc>
          <w:tcPr>
            <w:tcW w:w="2840" w:type="dxa"/>
          </w:tcPr>
          <w:p w:rsidR="00B22EFE" w:rsidRDefault="00B22EFE" w:rsidP="00C55A42">
            <w:pPr>
              <w:rPr>
                <w:sz w:val="22"/>
                <w:szCs w:val="22"/>
              </w:rPr>
            </w:pPr>
            <w:r>
              <w:rPr>
                <w:sz w:val="22"/>
                <w:szCs w:val="22"/>
              </w:rPr>
              <w:t>EMU Dummy</w:t>
            </w:r>
          </w:p>
        </w:tc>
        <w:tc>
          <w:tcPr>
            <w:tcW w:w="2840" w:type="dxa"/>
          </w:tcPr>
          <w:p w:rsidR="00B22EFE" w:rsidRDefault="00B22EFE" w:rsidP="00C55A42">
            <w:pPr>
              <w:rPr>
                <w:sz w:val="22"/>
                <w:szCs w:val="22"/>
              </w:rPr>
            </w:pPr>
            <w:r>
              <w:rPr>
                <w:sz w:val="22"/>
                <w:szCs w:val="22"/>
              </w:rPr>
              <w:t xml:space="preserve">Assumes the value of 1 for years 1999-2007 for the </w:t>
            </w:r>
            <w:r>
              <w:rPr>
                <w:sz w:val="22"/>
                <w:szCs w:val="22"/>
              </w:rPr>
              <w:lastRenderedPageBreak/>
              <w:t xml:space="preserve">following countries: </w:t>
            </w:r>
            <w:smartTag w:uri="urn:schemas-microsoft-com:office:smarttags" w:element="country-region">
              <w:r>
                <w:rPr>
                  <w:sz w:val="22"/>
                  <w:szCs w:val="22"/>
                </w:rPr>
                <w:t>Austria</w:t>
              </w:r>
            </w:smartTag>
            <w:r>
              <w:rPr>
                <w:sz w:val="22"/>
                <w:szCs w:val="22"/>
              </w:rPr>
              <w:t xml:space="preserve">, </w:t>
            </w:r>
            <w:smartTag w:uri="urn:schemas-microsoft-com:office:smarttags" w:element="country-region">
              <w:r>
                <w:rPr>
                  <w:sz w:val="22"/>
                  <w:szCs w:val="22"/>
                </w:rPr>
                <w:t>Belgium</w:t>
              </w:r>
            </w:smartTag>
            <w:r>
              <w:rPr>
                <w:sz w:val="22"/>
                <w:szCs w:val="22"/>
              </w:rPr>
              <w:t xml:space="preserve">, </w:t>
            </w:r>
            <w:smartTag w:uri="urn:schemas-microsoft-com:office:smarttags" w:element="country-region">
              <w:r>
                <w:rPr>
                  <w:sz w:val="22"/>
                  <w:szCs w:val="22"/>
                </w:rPr>
                <w:t>Finland</w:t>
              </w:r>
            </w:smartTag>
            <w:r>
              <w:rPr>
                <w:sz w:val="22"/>
                <w:szCs w:val="22"/>
              </w:rPr>
              <w:t xml:space="preserve">, </w:t>
            </w:r>
            <w:smartTag w:uri="urn:schemas-microsoft-com:office:smarttags" w:element="country-region">
              <w:r>
                <w:rPr>
                  <w:sz w:val="22"/>
                  <w:szCs w:val="22"/>
                </w:rPr>
                <w:t>France</w:t>
              </w:r>
            </w:smartTag>
            <w:r>
              <w:rPr>
                <w:sz w:val="22"/>
                <w:szCs w:val="22"/>
              </w:rPr>
              <w:t xml:space="preserve">, </w:t>
            </w:r>
            <w:smartTag w:uri="urn:schemas-microsoft-com:office:smarttags" w:element="country-region">
              <w:r>
                <w:rPr>
                  <w:sz w:val="22"/>
                  <w:szCs w:val="22"/>
                </w:rPr>
                <w:t>Germany</w:t>
              </w:r>
            </w:smartTag>
            <w:r>
              <w:rPr>
                <w:sz w:val="22"/>
                <w:szCs w:val="22"/>
              </w:rPr>
              <w:t xml:space="preserve">, </w:t>
            </w:r>
            <w:smartTag w:uri="urn:schemas-microsoft-com:office:smarttags" w:element="country-region">
              <w:r>
                <w:rPr>
                  <w:sz w:val="22"/>
                  <w:szCs w:val="22"/>
                </w:rPr>
                <w:t>Ireland</w:t>
              </w:r>
            </w:smartTag>
            <w:r>
              <w:rPr>
                <w:sz w:val="22"/>
                <w:szCs w:val="22"/>
              </w:rPr>
              <w:t xml:space="preserve">, </w:t>
            </w:r>
            <w:smartTag w:uri="urn:schemas-microsoft-com:office:smarttags" w:element="country-region">
              <w:r>
                <w:rPr>
                  <w:sz w:val="22"/>
                  <w:szCs w:val="22"/>
                </w:rPr>
                <w:t>Italy</w:t>
              </w:r>
            </w:smartTag>
            <w:r>
              <w:rPr>
                <w:sz w:val="22"/>
                <w:szCs w:val="22"/>
              </w:rPr>
              <w:t xml:space="preserve">, the </w:t>
            </w:r>
            <w:smartTag w:uri="urn:schemas-microsoft-com:office:smarttags" w:element="country-region">
              <w:r>
                <w:rPr>
                  <w:sz w:val="22"/>
                  <w:szCs w:val="22"/>
                </w:rPr>
                <w:t>Netherlands</w:t>
              </w:r>
            </w:smartTag>
            <w:r>
              <w:rPr>
                <w:sz w:val="22"/>
                <w:szCs w:val="22"/>
              </w:rPr>
              <w:t xml:space="preserve">, </w:t>
            </w:r>
            <w:smartTag w:uri="urn:schemas-microsoft-com:office:smarttags" w:element="country-region">
              <w:r>
                <w:rPr>
                  <w:sz w:val="22"/>
                  <w:szCs w:val="22"/>
                </w:rPr>
                <w:t>Portugal</w:t>
              </w:r>
            </w:smartTag>
            <w:r>
              <w:rPr>
                <w:sz w:val="22"/>
                <w:szCs w:val="22"/>
              </w:rPr>
              <w:t xml:space="preserve"> and </w:t>
            </w:r>
            <w:smartTag w:uri="urn:schemas-microsoft-com:office:smarttags" w:element="country-region">
              <w:smartTag w:uri="urn:schemas-microsoft-com:office:smarttags" w:element="place">
                <w:r>
                  <w:rPr>
                    <w:sz w:val="22"/>
                    <w:szCs w:val="22"/>
                  </w:rPr>
                  <w:t>Spain</w:t>
                </w:r>
              </w:smartTag>
            </w:smartTag>
            <w:r>
              <w:rPr>
                <w:sz w:val="22"/>
                <w:szCs w:val="22"/>
              </w:rPr>
              <w:t>.  0 if otherwise.</w:t>
            </w:r>
          </w:p>
        </w:tc>
        <w:tc>
          <w:tcPr>
            <w:tcW w:w="2842" w:type="dxa"/>
          </w:tcPr>
          <w:p w:rsidR="00B22EFE" w:rsidRDefault="00B22EFE" w:rsidP="00C55A42">
            <w:pPr>
              <w:rPr>
                <w:sz w:val="22"/>
                <w:szCs w:val="22"/>
              </w:rPr>
            </w:pPr>
            <w:r>
              <w:rPr>
                <w:sz w:val="22"/>
                <w:szCs w:val="22"/>
              </w:rPr>
              <w:lastRenderedPageBreak/>
              <w:t>NA</w:t>
            </w:r>
          </w:p>
        </w:tc>
      </w:tr>
      <w:tr w:rsidR="00B22EFE" w:rsidTr="00C55A42">
        <w:tc>
          <w:tcPr>
            <w:tcW w:w="2840" w:type="dxa"/>
          </w:tcPr>
          <w:p w:rsidR="00B22EFE" w:rsidRDefault="00B22EFE" w:rsidP="00C55A42">
            <w:pPr>
              <w:rPr>
                <w:sz w:val="22"/>
                <w:szCs w:val="22"/>
              </w:rPr>
            </w:pPr>
            <w:r>
              <w:rPr>
                <w:sz w:val="22"/>
                <w:szCs w:val="22"/>
              </w:rPr>
              <w:lastRenderedPageBreak/>
              <w:t>Differences in sectoral productivity growth</w:t>
            </w:r>
          </w:p>
        </w:tc>
        <w:tc>
          <w:tcPr>
            <w:tcW w:w="2840" w:type="dxa"/>
          </w:tcPr>
          <w:p w:rsidR="00B22EFE" w:rsidRDefault="00B22EFE" w:rsidP="00C55A42">
            <w:pPr>
              <w:rPr>
                <w:sz w:val="22"/>
                <w:szCs w:val="22"/>
              </w:rPr>
            </w:pPr>
            <w:r>
              <w:rPr>
                <w:sz w:val="22"/>
                <w:szCs w:val="22"/>
              </w:rPr>
              <w:t>The difference in the following values: 1) the log change of the (employee weighted) average of gross value added per hour worked for the public administration and defence (ISIC category L), education (ISIC category M), and health and social work (ISIC category N) sectors, and; 2) the log change in gross value added per hour worked for the manufacturing sector (ISIC category D).</w:t>
            </w:r>
          </w:p>
        </w:tc>
        <w:tc>
          <w:tcPr>
            <w:tcW w:w="2842" w:type="dxa"/>
          </w:tcPr>
          <w:p w:rsidR="00B22EFE" w:rsidRDefault="00B22EFE" w:rsidP="00C55A42">
            <w:pPr>
              <w:rPr>
                <w:sz w:val="22"/>
                <w:szCs w:val="22"/>
              </w:rPr>
            </w:pPr>
            <w:r>
              <w:rPr>
                <w:sz w:val="22"/>
                <w:szCs w:val="22"/>
              </w:rPr>
              <w:t>EU KLEMS database</w:t>
            </w:r>
          </w:p>
        </w:tc>
      </w:tr>
      <w:tr w:rsidR="00B22EFE" w:rsidTr="00C55A42">
        <w:tc>
          <w:tcPr>
            <w:tcW w:w="2840" w:type="dxa"/>
          </w:tcPr>
          <w:p w:rsidR="00B22EFE" w:rsidRDefault="00B22EFE" w:rsidP="00C55A42">
            <w:pPr>
              <w:rPr>
                <w:sz w:val="22"/>
                <w:szCs w:val="22"/>
              </w:rPr>
            </w:pPr>
            <w:r>
              <w:rPr>
                <w:sz w:val="22"/>
                <w:szCs w:val="22"/>
              </w:rPr>
              <w:t>Differences in sectoral employment growth</w:t>
            </w:r>
          </w:p>
        </w:tc>
        <w:tc>
          <w:tcPr>
            <w:tcW w:w="2840" w:type="dxa"/>
          </w:tcPr>
          <w:p w:rsidR="00B22EFE" w:rsidRDefault="00B22EFE" w:rsidP="00C55A42">
            <w:pPr>
              <w:rPr>
                <w:sz w:val="22"/>
                <w:szCs w:val="22"/>
              </w:rPr>
            </w:pPr>
            <w:r>
              <w:rPr>
                <w:sz w:val="22"/>
                <w:szCs w:val="22"/>
              </w:rPr>
              <w:t>The difference in the following values: 1) the log change of the number of employees working within the public administration and defence (ISIC category L), education (ISIC category M), and health and social work (ISIC category N) sectors, and 2) the log change of the number of employees working within the manufacturing sector (ISIC category D).</w:t>
            </w:r>
          </w:p>
        </w:tc>
        <w:tc>
          <w:tcPr>
            <w:tcW w:w="2842" w:type="dxa"/>
          </w:tcPr>
          <w:p w:rsidR="00B22EFE" w:rsidRDefault="00B22EFE" w:rsidP="00C55A42">
            <w:pPr>
              <w:rPr>
                <w:sz w:val="22"/>
                <w:szCs w:val="22"/>
              </w:rPr>
            </w:pPr>
            <w:r>
              <w:rPr>
                <w:sz w:val="22"/>
                <w:szCs w:val="22"/>
              </w:rPr>
              <w:t>EU KLEMS database</w:t>
            </w:r>
          </w:p>
        </w:tc>
      </w:tr>
      <w:tr w:rsidR="00B22EFE" w:rsidTr="00C55A42">
        <w:tc>
          <w:tcPr>
            <w:tcW w:w="2840" w:type="dxa"/>
          </w:tcPr>
          <w:p w:rsidR="00B22EFE" w:rsidRDefault="00B22EFE" w:rsidP="00C55A42">
            <w:pPr>
              <w:rPr>
                <w:sz w:val="22"/>
                <w:szCs w:val="22"/>
              </w:rPr>
            </w:pPr>
            <w:r>
              <w:rPr>
                <w:sz w:val="22"/>
                <w:szCs w:val="22"/>
              </w:rPr>
              <w:t>Net public borrowing</w:t>
            </w:r>
          </w:p>
        </w:tc>
        <w:tc>
          <w:tcPr>
            <w:tcW w:w="2840" w:type="dxa"/>
          </w:tcPr>
          <w:p w:rsidR="00B22EFE" w:rsidRDefault="00B22EFE" w:rsidP="00C55A42">
            <w:pPr>
              <w:rPr>
                <w:sz w:val="22"/>
                <w:szCs w:val="22"/>
              </w:rPr>
            </w:pPr>
            <w:r>
              <w:rPr>
                <w:sz w:val="22"/>
                <w:szCs w:val="22"/>
              </w:rPr>
              <w:t>Net public borrowing divided by GDP</w:t>
            </w:r>
          </w:p>
        </w:tc>
        <w:tc>
          <w:tcPr>
            <w:tcW w:w="2842" w:type="dxa"/>
          </w:tcPr>
          <w:p w:rsidR="00B22EFE" w:rsidRDefault="00B22EFE" w:rsidP="00C55A42">
            <w:pPr>
              <w:rPr>
                <w:sz w:val="22"/>
                <w:szCs w:val="22"/>
              </w:rPr>
            </w:pPr>
            <w:r>
              <w:rPr>
                <w:sz w:val="22"/>
                <w:szCs w:val="22"/>
              </w:rPr>
              <w:t xml:space="preserve">European Commission’s Annual Macroeconomic Database.  </w:t>
            </w:r>
            <w:smartTag w:uri="urn:schemas-microsoft-com:office:smarttags" w:element="country-region">
              <w:r>
                <w:rPr>
                  <w:sz w:val="22"/>
                  <w:szCs w:val="22"/>
                </w:rPr>
                <w:t>Sweden</w:t>
              </w:r>
            </w:smartTag>
            <w:r>
              <w:rPr>
                <w:sz w:val="22"/>
                <w:szCs w:val="22"/>
              </w:rPr>
              <w:t xml:space="preserve"> and </w:t>
            </w:r>
            <w:smartTag w:uri="urn:schemas-microsoft-com:office:smarttags" w:element="country-region">
              <w:smartTag w:uri="urn:schemas-microsoft-com:office:smarttags" w:element="place">
                <w:r>
                  <w:rPr>
                    <w:sz w:val="22"/>
                    <w:szCs w:val="22"/>
                  </w:rPr>
                  <w:t>Australia</w:t>
                </w:r>
              </w:smartTag>
            </w:smartTag>
            <w:r>
              <w:rPr>
                <w:sz w:val="22"/>
                <w:szCs w:val="22"/>
              </w:rPr>
              <w:t>’s more complete deficit data was obtained from the OECD.</w:t>
            </w:r>
            <w:r>
              <w:rPr>
                <w:rStyle w:val="CommentTextChar"/>
                <w:rFonts w:eastAsia="Times New Roman"/>
              </w:rPr>
              <w:t xml:space="preserve"> </w:t>
            </w:r>
          </w:p>
        </w:tc>
      </w:tr>
      <w:tr w:rsidR="00B22EFE" w:rsidTr="00C55A42">
        <w:tc>
          <w:tcPr>
            <w:tcW w:w="2840" w:type="dxa"/>
          </w:tcPr>
          <w:p w:rsidR="00B22EFE" w:rsidRDefault="00B22EFE" w:rsidP="00C55A42">
            <w:pPr>
              <w:rPr>
                <w:sz w:val="22"/>
                <w:szCs w:val="22"/>
              </w:rPr>
            </w:pPr>
            <w:r>
              <w:rPr>
                <w:sz w:val="22"/>
                <w:szCs w:val="22"/>
              </w:rPr>
              <w:t>Export share growth</w:t>
            </w:r>
          </w:p>
        </w:tc>
        <w:tc>
          <w:tcPr>
            <w:tcW w:w="2840" w:type="dxa"/>
          </w:tcPr>
          <w:p w:rsidR="00B22EFE" w:rsidRDefault="00B22EFE" w:rsidP="00C55A42">
            <w:pPr>
              <w:rPr>
                <w:sz w:val="22"/>
                <w:szCs w:val="22"/>
              </w:rPr>
            </w:pPr>
            <w:r>
              <w:rPr>
                <w:sz w:val="22"/>
                <w:szCs w:val="22"/>
              </w:rPr>
              <w:t>Log change in the export share (measured as exports divided by GDP)</w:t>
            </w:r>
          </w:p>
        </w:tc>
        <w:tc>
          <w:tcPr>
            <w:tcW w:w="2842" w:type="dxa"/>
          </w:tcPr>
          <w:p w:rsidR="00B22EFE" w:rsidRDefault="00B22EFE" w:rsidP="00C55A42">
            <w:pPr>
              <w:rPr>
                <w:sz w:val="22"/>
                <w:szCs w:val="22"/>
              </w:rPr>
            </w:pPr>
            <w:r>
              <w:rPr>
                <w:sz w:val="22"/>
                <w:szCs w:val="22"/>
              </w:rPr>
              <w:t xml:space="preserve">European Commission’s Annual Macroeconomic Database.  </w:t>
            </w:r>
          </w:p>
        </w:tc>
      </w:tr>
      <w:tr w:rsidR="00B22EFE" w:rsidTr="00C55A42">
        <w:tc>
          <w:tcPr>
            <w:tcW w:w="2840" w:type="dxa"/>
          </w:tcPr>
          <w:p w:rsidR="00B22EFE" w:rsidRDefault="00B22EFE" w:rsidP="00C55A42">
            <w:pPr>
              <w:rPr>
                <w:sz w:val="22"/>
                <w:szCs w:val="22"/>
              </w:rPr>
            </w:pPr>
            <w:r>
              <w:rPr>
                <w:sz w:val="22"/>
                <w:szCs w:val="22"/>
              </w:rPr>
              <w:t>FDI growth</w:t>
            </w:r>
          </w:p>
        </w:tc>
        <w:tc>
          <w:tcPr>
            <w:tcW w:w="2840" w:type="dxa"/>
          </w:tcPr>
          <w:p w:rsidR="00B22EFE" w:rsidRDefault="00B22EFE" w:rsidP="00C55A42">
            <w:pPr>
              <w:rPr>
                <w:sz w:val="22"/>
                <w:szCs w:val="22"/>
              </w:rPr>
            </w:pPr>
            <w:r>
              <w:rPr>
                <w:sz w:val="22"/>
                <w:szCs w:val="22"/>
              </w:rPr>
              <w:t>Log change in annual i</w:t>
            </w:r>
            <w:r w:rsidRPr="00686CE5">
              <w:rPr>
                <w:sz w:val="22"/>
                <w:szCs w:val="22"/>
              </w:rPr>
              <w:t>nward and outward foreign direct investment stock</w:t>
            </w:r>
            <w:r>
              <w:rPr>
                <w:sz w:val="22"/>
                <w:szCs w:val="22"/>
              </w:rPr>
              <w:t xml:space="preserve"> (as a percentage of GDP)</w:t>
            </w:r>
          </w:p>
        </w:tc>
        <w:tc>
          <w:tcPr>
            <w:tcW w:w="2842" w:type="dxa"/>
          </w:tcPr>
          <w:p w:rsidR="00B22EFE" w:rsidRDefault="00B22EFE" w:rsidP="00C55A42">
            <w:pPr>
              <w:rPr>
                <w:sz w:val="22"/>
                <w:szCs w:val="22"/>
              </w:rPr>
            </w:pPr>
            <w:r w:rsidRPr="00686CE5">
              <w:rPr>
                <w:sz w:val="22"/>
                <w:szCs w:val="22"/>
              </w:rPr>
              <w:t>UNCTAD</w:t>
            </w:r>
            <w:r>
              <w:rPr>
                <w:sz w:val="22"/>
                <w:szCs w:val="22"/>
              </w:rPr>
              <w:t xml:space="preserve"> database</w:t>
            </w:r>
          </w:p>
        </w:tc>
      </w:tr>
      <w:tr w:rsidR="00B22EFE" w:rsidTr="00C55A42">
        <w:tc>
          <w:tcPr>
            <w:tcW w:w="2840" w:type="dxa"/>
          </w:tcPr>
          <w:p w:rsidR="00B22EFE" w:rsidRDefault="00B22EFE" w:rsidP="00C55A42">
            <w:pPr>
              <w:rPr>
                <w:sz w:val="22"/>
                <w:szCs w:val="22"/>
              </w:rPr>
            </w:pPr>
            <w:r>
              <w:rPr>
                <w:sz w:val="22"/>
                <w:szCs w:val="22"/>
              </w:rPr>
              <w:t>Partisanship</w:t>
            </w:r>
          </w:p>
        </w:tc>
        <w:tc>
          <w:tcPr>
            <w:tcW w:w="2840" w:type="dxa"/>
          </w:tcPr>
          <w:p w:rsidR="00B22EFE" w:rsidRDefault="00B22EFE" w:rsidP="00C55A42">
            <w:pPr>
              <w:rPr>
                <w:sz w:val="22"/>
                <w:szCs w:val="22"/>
              </w:rPr>
            </w:pPr>
            <w:r>
              <w:rPr>
                <w:sz w:val="22"/>
                <w:szCs w:val="22"/>
              </w:rPr>
              <w:t xml:space="preserve">Right-party legislative seats as a percentage of total legislative seats.  In election </w:t>
            </w:r>
            <w:r>
              <w:rPr>
                <w:sz w:val="22"/>
                <w:szCs w:val="22"/>
              </w:rPr>
              <w:lastRenderedPageBreak/>
              <w:t>years, party seats are weighted according to tenure.</w:t>
            </w:r>
          </w:p>
        </w:tc>
        <w:tc>
          <w:tcPr>
            <w:tcW w:w="2842" w:type="dxa"/>
          </w:tcPr>
          <w:p w:rsidR="00B22EFE" w:rsidRDefault="00B22EFE" w:rsidP="00C55A42">
            <w:pPr>
              <w:rPr>
                <w:sz w:val="22"/>
                <w:szCs w:val="22"/>
              </w:rPr>
            </w:pPr>
            <w:r>
              <w:rPr>
                <w:sz w:val="22"/>
                <w:szCs w:val="22"/>
              </w:rPr>
              <w:lastRenderedPageBreak/>
              <w:t>Swank’s (2006) Comparative Parties Dataset</w:t>
            </w:r>
          </w:p>
        </w:tc>
      </w:tr>
      <w:tr w:rsidR="00B22EFE" w:rsidTr="00C55A42">
        <w:tc>
          <w:tcPr>
            <w:tcW w:w="2840" w:type="dxa"/>
          </w:tcPr>
          <w:p w:rsidR="00B22EFE" w:rsidRDefault="00B22EFE" w:rsidP="00C55A42">
            <w:pPr>
              <w:rPr>
                <w:sz w:val="22"/>
                <w:szCs w:val="22"/>
              </w:rPr>
            </w:pPr>
            <w:r>
              <w:rPr>
                <w:sz w:val="22"/>
                <w:szCs w:val="22"/>
              </w:rPr>
              <w:lastRenderedPageBreak/>
              <w:t>Centralisation</w:t>
            </w:r>
          </w:p>
        </w:tc>
        <w:tc>
          <w:tcPr>
            <w:tcW w:w="2840" w:type="dxa"/>
          </w:tcPr>
          <w:p w:rsidR="00B22EFE" w:rsidRDefault="00B22EFE" w:rsidP="00C55A42">
            <w:pPr>
              <w:rPr>
                <w:sz w:val="22"/>
                <w:szCs w:val="22"/>
              </w:rPr>
            </w:pPr>
            <w:r>
              <w:rPr>
                <w:sz w:val="22"/>
                <w:szCs w:val="22"/>
              </w:rPr>
              <w:t>Based on Iversen’s (1999) centralisation index.  Ranges from 0 (no centralisation among unions) to 1 (monopoly centralisation among unions).</w:t>
            </w:r>
          </w:p>
        </w:tc>
        <w:tc>
          <w:tcPr>
            <w:tcW w:w="2842" w:type="dxa"/>
          </w:tcPr>
          <w:p w:rsidR="00B22EFE" w:rsidRDefault="00B22EFE" w:rsidP="00C55A42">
            <w:pPr>
              <w:rPr>
                <w:sz w:val="22"/>
                <w:szCs w:val="22"/>
              </w:rPr>
            </w:pPr>
            <w:r>
              <w:rPr>
                <w:sz w:val="22"/>
                <w:szCs w:val="22"/>
              </w:rPr>
              <w:t xml:space="preserve">Visser (2009) </w:t>
            </w:r>
          </w:p>
        </w:tc>
      </w:tr>
      <w:tr w:rsidR="00B22EFE" w:rsidTr="00C55A42">
        <w:tc>
          <w:tcPr>
            <w:tcW w:w="2840" w:type="dxa"/>
          </w:tcPr>
          <w:p w:rsidR="00B22EFE" w:rsidRDefault="00B22EFE" w:rsidP="00C55A42">
            <w:pPr>
              <w:rPr>
                <w:sz w:val="22"/>
                <w:szCs w:val="22"/>
              </w:rPr>
            </w:pPr>
            <w:r>
              <w:rPr>
                <w:sz w:val="22"/>
                <w:szCs w:val="22"/>
              </w:rPr>
              <w:t>Wage coordination</w:t>
            </w:r>
          </w:p>
        </w:tc>
        <w:tc>
          <w:tcPr>
            <w:tcW w:w="2840" w:type="dxa"/>
          </w:tcPr>
          <w:p w:rsidR="00B22EFE" w:rsidRDefault="00B22EFE" w:rsidP="00C55A42">
            <w:pPr>
              <w:rPr>
                <w:sz w:val="22"/>
                <w:szCs w:val="22"/>
              </w:rPr>
            </w:pPr>
            <w:r>
              <w:rPr>
                <w:sz w:val="22"/>
                <w:szCs w:val="22"/>
              </w:rPr>
              <w:t>Based on Kenworthy’s (2003) coordination index.  Scores range from 1 (no coordination) to 5 (economy wide-bargaining based upon enforceable agreements or the government imposition of a wage schedule).</w:t>
            </w:r>
          </w:p>
        </w:tc>
        <w:tc>
          <w:tcPr>
            <w:tcW w:w="2842" w:type="dxa"/>
          </w:tcPr>
          <w:p w:rsidR="00B22EFE" w:rsidRDefault="00B22EFE" w:rsidP="00C55A42">
            <w:pPr>
              <w:rPr>
                <w:sz w:val="22"/>
                <w:szCs w:val="22"/>
              </w:rPr>
            </w:pPr>
            <w:r>
              <w:rPr>
                <w:sz w:val="22"/>
                <w:szCs w:val="22"/>
              </w:rPr>
              <w:t xml:space="preserve">Visser (2009) </w:t>
            </w:r>
          </w:p>
        </w:tc>
      </w:tr>
      <w:tr w:rsidR="00B22EFE" w:rsidTr="00C55A42">
        <w:tc>
          <w:tcPr>
            <w:tcW w:w="2840" w:type="dxa"/>
          </w:tcPr>
          <w:p w:rsidR="00B22EFE" w:rsidRDefault="00B22EFE" w:rsidP="00C55A42">
            <w:pPr>
              <w:rPr>
                <w:sz w:val="22"/>
                <w:szCs w:val="22"/>
              </w:rPr>
            </w:pPr>
            <w:r>
              <w:rPr>
                <w:sz w:val="22"/>
                <w:szCs w:val="22"/>
              </w:rPr>
              <w:t>Pattern Bargaining Dummy</w:t>
            </w:r>
          </w:p>
        </w:tc>
        <w:tc>
          <w:tcPr>
            <w:tcW w:w="2840" w:type="dxa"/>
          </w:tcPr>
          <w:p w:rsidR="00B22EFE" w:rsidRDefault="00B22EFE" w:rsidP="00C55A42">
            <w:pPr>
              <w:rPr>
                <w:sz w:val="22"/>
                <w:szCs w:val="22"/>
              </w:rPr>
            </w:pPr>
            <w:r>
              <w:rPr>
                <w:sz w:val="22"/>
                <w:szCs w:val="22"/>
              </w:rPr>
              <w:t>Assumes the value of 1 for years countries with (trade-led) pattern bargaining systems at time t, and 0 if otherwise.</w:t>
            </w:r>
          </w:p>
        </w:tc>
        <w:tc>
          <w:tcPr>
            <w:tcW w:w="2842" w:type="dxa"/>
          </w:tcPr>
          <w:p w:rsidR="00B22EFE" w:rsidRDefault="00B22EFE" w:rsidP="00C55A42">
            <w:pPr>
              <w:rPr>
                <w:sz w:val="22"/>
                <w:szCs w:val="22"/>
              </w:rPr>
            </w:pPr>
            <w:r>
              <w:rPr>
                <w:sz w:val="22"/>
                <w:szCs w:val="22"/>
              </w:rPr>
              <w:t>Traxler and Brandl (2010)</w:t>
            </w:r>
          </w:p>
        </w:tc>
      </w:tr>
      <w:tr w:rsidR="00B22EFE" w:rsidTr="00C55A42">
        <w:tc>
          <w:tcPr>
            <w:tcW w:w="2840" w:type="dxa"/>
          </w:tcPr>
          <w:p w:rsidR="00B22EFE" w:rsidRDefault="00B22EFE" w:rsidP="00C55A42">
            <w:pPr>
              <w:rPr>
                <w:sz w:val="22"/>
                <w:szCs w:val="22"/>
              </w:rPr>
            </w:pPr>
            <w:r>
              <w:rPr>
                <w:sz w:val="22"/>
                <w:szCs w:val="22"/>
              </w:rPr>
              <w:t>Relative Sectoral Union Density</w:t>
            </w:r>
          </w:p>
        </w:tc>
        <w:tc>
          <w:tcPr>
            <w:tcW w:w="2840" w:type="dxa"/>
          </w:tcPr>
          <w:p w:rsidR="00B22EFE" w:rsidRDefault="00B22EFE" w:rsidP="00C55A42">
            <w:pPr>
              <w:rPr>
                <w:sz w:val="22"/>
                <w:szCs w:val="22"/>
              </w:rPr>
            </w:pPr>
            <w:r>
              <w:rPr>
                <w:sz w:val="22"/>
                <w:szCs w:val="22"/>
              </w:rPr>
              <w:t>Ratio of the membership of the three largest public-sector affiliates to the three largest exposed-sector affiliates within a country’s largest union confederation.</w:t>
            </w:r>
          </w:p>
        </w:tc>
        <w:tc>
          <w:tcPr>
            <w:tcW w:w="2842" w:type="dxa"/>
          </w:tcPr>
          <w:p w:rsidR="00B22EFE" w:rsidRDefault="00B22EFE" w:rsidP="00C55A42">
            <w:pPr>
              <w:rPr>
                <w:sz w:val="22"/>
                <w:szCs w:val="22"/>
              </w:rPr>
            </w:pPr>
            <w:r>
              <w:rPr>
                <w:sz w:val="22"/>
                <w:szCs w:val="22"/>
              </w:rPr>
              <w:t>Traxler and Brandl (2010)</w:t>
            </w:r>
          </w:p>
        </w:tc>
      </w:tr>
    </w:tbl>
    <w:p w:rsidR="00B22EFE" w:rsidRDefault="00B22EFE" w:rsidP="00B22EFE"/>
    <w:p w:rsidR="00B22EFE" w:rsidRDefault="00B22EFE" w:rsidP="00B22EFE">
      <w:pPr>
        <w:spacing w:line="360" w:lineRule="auto"/>
        <w:ind w:right="28"/>
        <w:jc w:val="both"/>
        <w:rPr>
          <w:bCs/>
          <w:sz w:val="28"/>
          <w:szCs w:val="28"/>
        </w:rPr>
      </w:pPr>
    </w:p>
    <w:p w:rsidR="00B22EFE" w:rsidRDefault="00B22EFE" w:rsidP="00B22EFE">
      <w:pPr>
        <w:spacing w:line="360" w:lineRule="auto"/>
        <w:ind w:right="28"/>
        <w:jc w:val="both"/>
        <w:rPr>
          <w:bCs/>
          <w:sz w:val="28"/>
          <w:szCs w:val="28"/>
        </w:rPr>
      </w:pPr>
    </w:p>
    <w:p w:rsidR="008528DA" w:rsidRDefault="00BE3415"/>
    <w:sectPr w:rsidR="0085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FE"/>
    <w:rsid w:val="00770FDB"/>
    <w:rsid w:val="00B22EFE"/>
    <w:rsid w:val="00BE3415"/>
    <w:rsid w:val="00CC5D60"/>
    <w:rsid w:val="00F1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FE"/>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B22EFE"/>
    <w:rPr>
      <w:sz w:val="20"/>
      <w:szCs w:val="20"/>
    </w:rPr>
  </w:style>
  <w:style w:type="character" w:customStyle="1" w:styleId="CommentTextChar">
    <w:name w:val="Comment Text Char"/>
    <w:basedOn w:val="DefaultParagraphFont"/>
    <w:link w:val="CommentText"/>
    <w:rsid w:val="00B22EFE"/>
    <w:rPr>
      <w:rFonts w:ascii="Times New Roman" w:eastAsia="SimSun" w:hAnsi="Times New Roman"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FE"/>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B22EFE"/>
    <w:rPr>
      <w:sz w:val="20"/>
      <w:szCs w:val="20"/>
    </w:rPr>
  </w:style>
  <w:style w:type="character" w:customStyle="1" w:styleId="CommentTextChar">
    <w:name w:val="Comment Text Char"/>
    <w:basedOn w:val="DefaultParagraphFont"/>
    <w:link w:val="CommentText"/>
    <w:rsid w:val="00B22EFE"/>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2012-03-06T18:32:00Z</dcterms:created>
  <dcterms:modified xsi:type="dcterms:W3CDTF">2012-03-06T18:32:00Z</dcterms:modified>
</cp:coreProperties>
</file>