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98F4" w14:textId="77777777" w:rsidR="00DD1657" w:rsidRDefault="00000000">
      <w:pPr>
        <w:pStyle w:val="Title"/>
      </w:pPr>
      <w:r>
        <w:rPr>
          <w:color w:val="EC7C30"/>
        </w:rPr>
        <w:t>Recovering</w:t>
      </w:r>
      <w:r>
        <w:rPr>
          <w:color w:val="EC7C30"/>
          <w:spacing w:val="-11"/>
        </w:rPr>
        <w:t xml:space="preserve"> </w:t>
      </w:r>
      <w:r>
        <w:rPr>
          <w:color w:val="EC7C30"/>
        </w:rPr>
        <w:t>Indirect</w:t>
      </w:r>
      <w:r>
        <w:rPr>
          <w:color w:val="EC7C30"/>
          <w:spacing w:val="-11"/>
        </w:rPr>
        <w:t xml:space="preserve"> </w:t>
      </w:r>
      <w:r>
        <w:rPr>
          <w:color w:val="EC7C30"/>
          <w:spacing w:val="-2"/>
        </w:rPr>
        <w:t>Costs</w:t>
      </w:r>
    </w:p>
    <w:p w14:paraId="792998F5" w14:textId="77777777" w:rsidR="00DD1657" w:rsidRDefault="00DD1657">
      <w:pPr>
        <w:pStyle w:val="BodyText"/>
        <w:spacing w:before="206"/>
        <w:ind w:left="0"/>
        <w:rPr>
          <w:b/>
        </w:rPr>
      </w:pPr>
    </w:p>
    <w:p w14:paraId="792998F6" w14:textId="7F1B3B8B" w:rsidR="00DD1657" w:rsidRDefault="00000000">
      <w:pPr>
        <w:pStyle w:val="BodyText"/>
        <w:spacing w:line="259" w:lineRule="auto"/>
        <w:ind w:right="119"/>
      </w:pP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26%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overhead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a</w:t>
      </w:r>
      <w:r w:rsidR="00566179">
        <w:t>ft</w:t>
      </w:r>
      <w:r>
        <w:t>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its cut), the College keeps 5%, The School takes 75% and 20% goes to the PI. The PI’s 20% will go into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purpose,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PI’s</w:t>
      </w:r>
      <w:r>
        <w:rPr>
          <w:spacing w:val="-4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capped</w:t>
      </w:r>
      <w:r>
        <w:rPr>
          <w:spacing w:val="-5"/>
        </w:rPr>
        <w:t xml:space="preserve"> </w:t>
      </w:r>
      <w:r>
        <w:t>at</w:t>
      </w:r>
    </w:p>
    <w:p w14:paraId="792998F7" w14:textId="07D51A13" w:rsidR="00DD1657" w:rsidRDefault="00000000">
      <w:pPr>
        <w:pStyle w:val="BodyText"/>
      </w:pPr>
      <w:r>
        <w:t>$20,000.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replenished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 w:rsidR="00566179">
        <w:t>it’s</w:t>
      </w:r>
      <w:r>
        <w:rPr>
          <w:spacing w:val="-3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brings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overhead.</w:t>
      </w:r>
    </w:p>
    <w:p w14:paraId="792998F8" w14:textId="785B83C2" w:rsidR="00DD1657" w:rsidRDefault="00000000">
      <w:pPr>
        <w:pStyle w:val="BodyText"/>
        <w:spacing w:before="182" w:line="259" w:lineRule="auto"/>
      </w:pPr>
      <w:r>
        <w:t>CLA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PIs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collabora</w:t>
      </w:r>
      <w:r w:rsidR="00566179">
        <w:t>ti</w:t>
      </w:r>
      <w:r>
        <w:t>ve</w:t>
      </w:r>
      <w:r>
        <w:rPr>
          <w:spacing w:val="-8"/>
        </w:rPr>
        <w:t xml:space="preserve"> </w:t>
      </w:r>
      <w:r>
        <w:t>grants</w:t>
      </w:r>
      <w:r>
        <w:rPr>
          <w:spacing w:val="-9"/>
        </w:rPr>
        <w:t xml:space="preserve"> </w:t>
      </w:r>
      <w:r>
        <w:t>led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colleges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ge</w:t>
      </w:r>
      <w:r w:rsidR="00566179">
        <w:t>tti</w:t>
      </w:r>
      <w:r>
        <w:t>ng their own index, both so the indirect costs come to us and so we can get credit for our grant ac</w:t>
      </w:r>
      <w:r w:rsidR="00566179">
        <w:t>ti</w:t>
      </w:r>
      <w:r>
        <w:t>vity. Also, on these sorts of collabora</w:t>
      </w:r>
      <w:r w:rsidR="00566179">
        <w:t>ti</w:t>
      </w:r>
      <w:r>
        <w:t>ve grants our PIs should make sure that the grant items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instance,</w:t>
      </w:r>
      <w:r>
        <w:rPr>
          <w:spacing w:val="-6"/>
        </w:rPr>
        <w:t xml:space="preserve"> </w:t>
      </w:r>
      <w:r>
        <w:t>CLA</w:t>
      </w:r>
      <w:r>
        <w:rPr>
          <w:spacing w:val="-5"/>
        </w:rPr>
        <w:t xml:space="preserve"> </w:t>
      </w:r>
      <w:r>
        <w:t>GTAs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PI’s</w:t>
      </w:r>
      <w:r>
        <w:rPr>
          <w:spacing w:val="-6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 other college’s por</w:t>
      </w:r>
      <w:r w:rsidR="00566179">
        <w:t>ti</w:t>
      </w:r>
      <w:r>
        <w:t>on of the grant.</w:t>
      </w:r>
    </w:p>
    <w:sectPr w:rsidR="00DD1657">
      <w:type w:val="continuous"/>
      <w:pgSz w:w="12240" w:h="15840"/>
      <w:pgMar w:top="140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657"/>
    <w:rsid w:val="00566179"/>
    <w:rsid w:val="00DD1657"/>
    <w:rsid w:val="00F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98F4"/>
  <w15:docId w15:val="{A173A261-2AA1-483B-BB00-6E013484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9"/>
      <w:ind w:left="1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676</Characters>
  <Application>Microsoft Office Word</Application>
  <DocSecurity>0</DocSecurity>
  <Lines>11</Lines>
  <Paragraphs>4</Paragraphs>
  <ScaleCrop>false</ScaleCrop>
  <Company>Oregon State University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Betcher, Gina</dc:creator>
  <dc:description/>
  <cp:lastModifiedBy>Betcher, Gina</cp:lastModifiedBy>
  <cp:revision>2</cp:revision>
  <dcterms:created xsi:type="dcterms:W3CDTF">2026-03-24T20:43:00Z</dcterms:created>
  <dcterms:modified xsi:type="dcterms:W3CDTF">2026-03-24T20:44:00Z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D:20240112214806</vt:lpwstr>
  </property>
</Properties>
</file>